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9901C" w14:textId="77777777" w:rsidR="00CF360B" w:rsidRPr="001A6A84" w:rsidRDefault="00CF360B" w:rsidP="00CF360B">
      <w:pPr>
        <w:spacing w:after="0" w:line="240" w:lineRule="auto"/>
        <w:jc w:val="center"/>
        <w:rPr>
          <w:rFonts w:cstheme="minorHAnsi"/>
          <w:b/>
        </w:rPr>
      </w:pPr>
      <w:r w:rsidRPr="001A6A84">
        <w:rPr>
          <w:rFonts w:cstheme="minorHAnsi"/>
          <w:b/>
          <w:noProof/>
          <w:lang w:val="en-US"/>
        </w:rPr>
        <w:drawing>
          <wp:inline distT="0" distB="0" distL="0" distR="0" wp14:anchorId="18A0F989" wp14:editId="7291BD9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01A3E57" w14:textId="77777777" w:rsidR="00CF360B" w:rsidRPr="001A6A84" w:rsidRDefault="00CF360B" w:rsidP="00CF360B">
      <w:pPr>
        <w:spacing w:after="0" w:line="240" w:lineRule="auto"/>
        <w:jc w:val="both"/>
        <w:rPr>
          <w:rFonts w:cstheme="minorHAnsi"/>
          <w:b/>
        </w:rPr>
      </w:pPr>
    </w:p>
    <w:p w14:paraId="19D663FA" w14:textId="0C96E8AE" w:rsidR="00CF360B" w:rsidRPr="001A6A84" w:rsidRDefault="00E92B1E" w:rsidP="007E267D">
      <w:pPr>
        <w:spacing w:after="0" w:line="240" w:lineRule="auto"/>
        <w:jc w:val="center"/>
        <w:rPr>
          <w:rFonts w:cstheme="minorHAnsi"/>
          <w:b/>
        </w:rPr>
      </w:pPr>
      <w:r>
        <w:rPr>
          <w:rFonts w:cstheme="minorHAnsi"/>
          <w:b/>
        </w:rPr>
        <w:t xml:space="preserve">OUTCOME CASES </w:t>
      </w:r>
      <w:r w:rsidR="00CF360B" w:rsidRPr="001A6A84">
        <w:rPr>
          <w:rFonts w:cstheme="minorHAnsi"/>
          <w:b/>
        </w:rPr>
        <w:t xml:space="preserve">TRIBUNAL ROLL FOR WEDNESDAY, </w:t>
      </w:r>
      <w:r w:rsidR="00CF360B">
        <w:rPr>
          <w:rFonts w:cstheme="minorHAnsi"/>
          <w:b/>
        </w:rPr>
        <w:t>25 JANUARY 2017</w:t>
      </w:r>
    </w:p>
    <w:p w14:paraId="5F004F5D" w14:textId="77777777" w:rsidR="00CF360B" w:rsidRPr="001A6A84" w:rsidRDefault="00CF360B" w:rsidP="00CF360B">
      <w:pPr>
        <w:spacing w:after="0" w:line="240" w:lineRule="auto"/>
        <w:jc w:val="both"/>
        <w:rPr>
          <w:rFonts w:cstheme="minorHAnsi"/>
          <w:b/>
        </w:rPr>
      </w:pPr>
    </w:p>
    <w:p w14:paraId="29F17C07" w14:textId="77777777" w:rsidR="00CF360B" w:rsidRPr="001A6A84" w:rsidRDefault="00CF360B" w:rsidP="00CF360B">
      <w:pPr>
        <w:spacing w:after="0" w:line="240" w:lineRule="auto"/>
        <w:jc w:val="both"/>
        <w:rPr>
          <w:rFonts w:cstheme="minorHAnsi"/>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440"/>
        <w:gridCol w:w="2535"/>
        <w:gridCol w:w="2469"/>
        <w:gridCol w:w="1906"/>
      </w:tblGrid>
      <w:tr w:rsidR="00E92B1E" w:rsidRPr="001A6A84" w14:paraId="1AFFBDF5" w14:textId="77777777" w:rsidTr="00E92B1E">
        <w:trPr>
          <w:trHeight w:val="972"/>
        </w:trPr>
        <w:tc>
          <w:tcPr>
            <w:tcW w:w="2440" w:type="dxa"/>
            <w:shd w:val="clear" w:color="auto" w:fill="996633"/>
          </w:tcPr>
          <w:p w14:paraId="302FD8D5" w14:textId="77777777" w:rsidR="00E92B1E" w:rsidRPr="001A6A84" w:rsidRDefault="00E92B1E" w:rsidP="00385DBD">
            <w:pPr>
              <w:jc w:val="both"/>
              <w:rPr>
                <w:rFonts w:cstheme="minorHAnsi"/>
                <w:color w:val="FFFFFF" w:themeColor="background1"/>
              </w:rPr>
            </w:pPr>
            <w:r w:rsidRPr="001A6A84">
              <w:rPr>
                <w:rFonts w:cstheme="minorHAnsi"/>
                <w:color w:val="FFFFFF" w:themeColor="background1"/>
              </w:rPr>
              <w:t>Type of matter</w:t>
            </w:r>
          </w:p>
        </w:tc>
        <w:tc>
          <w:tcPr>
            <w:tcW w:w="2535" w:type="dxa"/>
            <w:shd w:val="clear" w:color="auto" w:fill="996633"/>
          </w:tcPr>
          <w:p w14:paraId="369E3760" w14:textId="77777777" w:rsidR="00E92B1E" w:rsidRPr="001A6A84" w:rsidRDefault="00E92B1E" w:rsidP="00385DBD">
            <w:pPr>
              <w:jc w:val="both"/>
              <w:rPr>
                <w:rFonts w:cstheme="minorHAnsi"/>
                <w:color w:val="FFFFFF" w:themeColor="background1"/>
              </w:rPr>
            </w:pPr>
            <w:r w:rsidRPr="001A6A84">
              <w:rPr>
                <w:rFonts w:cstheme="minorHAnsi"/>
                <w:color w:val="FFFFFF" w:themeColor="background1"/>
              </w:rPr>
              <w:t>Parties involved</w:t>
            </w:r>
          </w:p>
        </w:tc>
        <w:tc>
          <w:tcPr>
            <w:tcW w:w="2469" w:type="dxa"/>
            <w:shd w:val="clear" w:color="auto" w:fill="996633"/>
          </w:tcPr>
          <w:p w14:paraId="6EBF291A" w14:textId="77777777" w:rsidR="00E92B1E" w:rsidRPr="001A6A84" w:rsidRDefault="00E92B1E" w:rsidP="00385DBD">
            <w:pPr>
              <w:jc w:val="both"/>
              <w:rPr>
                <w:rFonts w:cstheme="minorHAnsi"/>
                <w:color w:val="FFFFFF" w:themeColor="background1"/>
              </w:rPr>
            </w:pPr>
            <w:r w:rsidRPr="001A6A84">
              <w:rPr>
                <w:rFonts w:cstheme="minorHAnsi"/>
                <w:color w:val="FFFFFF" w:themeColor="background1"/>
              </w:rPr>
              <w:t>Competition Commission’s recommendation to Tribunal</w:t>
            </w:r>
          </w:p>
        </w:tc>
        <w:tc>
          <w:tcPr>
            <w:tcW w:w="1906" w:type="dxa"/>
            <w:shd w:val="clear" w:color="auto" w:fill="996633"/>
          </w:tcPr>
          <w:p w14:paraId="3698B25F" w14:textId="77777777" w:rsidR="00E92B1E" w:rsidRPr="001A6A84" w:rsidRDefault="00E92B1E" w:rsidP="00385DBD">
            <w:pPr>
              <w:jc w:val="both"/>
              <w:rPr>
                <w:rFonts w:cstheme="minorHAnsi"/>
                <w:color w:val="FFFFFF" w:themeColor="background1"/>
              </w:rPr>
            </w:pPr>
            <w:r>
              <w:rPr>
                <w:rFonts w:cstheme="minorHAnsi"/>
                <w:color w:val="FFFFFF" w:themeColor="background1"/>
              </w:rPr>
              <w:t xml:space="preserve">Decision by Competition Tribunal </w:t>
            </w:r>
          </w:p>
        </w:tc>
      </w:tr>
      <w:tr w:rsidR="00E92B1E" w:rsidRPr="001A6A84" w14:paraId="37C6C352" w14:textId="77777777" w:rsidTr="00E92B1E">
        <w:trPr>
          <w:trHeight w:val="493"/>
        </w:trPr>
        <w:tc>
          <w:tcPr>
            <w:tcW w:w="2440" w:type="dxa"/>
          </w:tcPr>
          <w:p w14:paraId="60271281" w14:textId="77777777" w:rsidR="00E92B1E" w:rsidRPr="001A6A84" w:rsidRDefault="00E92B1E" w:rsidP="00385DBD">
            <w:pPr>
              <w:jc w:val="both"/>
              <w:rPr>
                <w:rFonts w:cstheme="minorHAnsi"/>
              </w:rPr>
            </w:pPr>
            <w:r>
              <w:rPr>
                <w:rFonts w:cstheme="minorHAnsi"/>
              </w:rPr>
              <w:t xml:space="preserve">Consent agreement </w:t>
            </w:r>
          </w:p>
        </w:tc>
        <w:tc>
          <w:tcPr>
            <w:tcW w:w="2535" w:type="dxa"/>
          </w:tcPr>
          <w:p w14:paraId="55FDC909" w14:textId="77777777" w:rsidR="00E92B1E" w:rsidRPr="001A6A84" w:rsidRDefault="00E92B1E" w:rsidP="00385DBD">
            <w:pPr>
              <w:jc w:val="both"/>
              <w:rPr>
                <w:rFonts w:cstheme="minorHAnsi"/>
              </w:rPr>
            </w:pPr>
            <w:r>
              <w:rPr>
                <w:rFonts w:cstheme="minorHAnsi"/>
              </w:rPr>
              <w:t>Competition Commission and the Good Hope Textile Corporation (Pty) Ltd t/a Da Gama Textiles</w:t>
            </w:r>
          </w:p>
        </w:tc>
        <w:tc>
          <w:tcPr>
            <w:tcW w:w="2469" w:type="dxa"/>
          </w:tcPr>
          <w:p w14:paraId="041646E0" w14:textId="77777777" w:rsidR="00E92B1E" w:rsidRPr="001A6A84" w:rsidRDefault="00E92B1E" w:rsidP="00385DBD">
            <w:pPr>
              <w:jc w:val="both"/>
              <w:rPr>
                <w:rFonts w:cstheme="minorHAnsi"/>
              </w:rPr>
            </w:pPr>
            <w:r>
              <w:rPr>
                <w:rFonts w:cstheme="minorHAnsi"/>
              </w:rPr>
              <w:t>Confirmation of agreement</w:t>
            </w:r>
          </w:p>
        </w:tc>
        <w:tc>
          <w:tcPr>
            <w:tcW w:w="1906" w:type="dxa"/>
          </w:tcPr>
          <w:p w14:paraId="65A9A25D" w14:textId="77777777" w:rsidR="00E92B1E" w:rsidRDefault="00E92B1E" w:rsidP="00385DBD">
            <w:pPr>
              <w:jc w:val="both"/>
              <w:rPr>
                <w:rFonts w:cstheme="minorHAnsi"/>
              </w:rPr>
            </w:pPr>
            <w:r>
              <w:rPr>
                <w:rFonts w:cstheme="minorHAnsi"/>
              </w:rPr>
              <w:t>Confirmed agreement</w:t>
            </w:r>
          </w:p>
        </w:tc>
      </w:tr>
      <w:tr w:rsidR="00E92B1E" w:rsidRPr="001A6A84" w14:paraId="649A43F2" w14:textId="77777777" w:rsidTr="00E92B1E">
        <w:trPr>
          <w:trHeight w:val="70"/>
        </w:trPr>
        <w:tc>
          <w:tcPr>
            <w:tcW w:w="2440" w:type="dxa"/>
          </w:tcPr>
          <w:p w14:paraId="5F3FEC17" w14:textId="77777777" w:rsidR="00E92B1E" w:rsidRPr="001A6A84" w:rsidRDefault="00E92B1E" w:rsidP="00385DBD">
            <w:pPr>
              <w:jc w:val="both"/>
              <w:rPr>
                <w:rFonts w:cstheme="minorHAnsi"/>
              </w:rPr>
            </w:pPr>
            <w:r w:rsidRPr="001A6A84">
              <w:rPr>
                <w:rFonts w:cstheme="minorHAnsi"/>
              </w:rPr>
              <w:t>Large merger</w:t>
            </w:r>
          </w:p>
          <w:p w14:paraId="32511D40" w14:textId="77777777" w:rsidR="00E92B1E" w:rsidRPr="001A6A84" w:rsidRDefault="00E92B1E" w:rsidP="00385DBD">
            <w:pPr>
              <w:jc w:val="both"/>
              <w:rPr>
                <w:rFonts w:cstheme="minorHAnsi"/>
              </w:rPr>
            </w:pPr>
          </w:p>
        </w:tc>
        <w:tc>
          <w:tcPr>
            <w:tcW w:w="2535" w:type="dxa"/>
          </w:tcPr>
          <w:p w14:paraId="6CDBF37E" w14:textId="77777777" w:rsidR="00E92B1E" w:rsidRPr="001A6A84" w:rsidRDefault="00E92B1E" w:rsidP="00385DBD">
            <w:pPr>
              <w:jc w:val="both"/>
              <w:rPr>
                <w:rFonts w:cstheme="minorHAnsi"/>
              </w:rPr>
            </w:pPr>
            <w:r>
              <w:rPr>
                <w:rFonts w:cstheme="minorHAnsi"/>
              </w:rPr>
              <w:t xml:space="preserve">HOLDCO, DEVCO and ASSETCO and Aldwych Power Holdings Ltd and Aldwych International Ltd, </w:t>
            </w:r>
            <w:proofErr w:type="spellStart"/>
            <w:r>
              <w:rPr>
                <w:rFonts w:cstheme="minorHAnsi"/>
              </w:rPr>
              <w:t>Cabeolica</w:t>
            </w:r>
            <w:proofErr w:type="spellEnd"/>
            <w:r>
              <w:rPr>
                <w:rFonts w:cstheme="minorHAnsi"/>
              </w:rPr>
              <w:t xml:space="preserve"> S.A and </w:t>
            </w:r>
            <w:proofErr w:type="spellStart"/>
            <w:r>
              <w:rPr>
                <w:rFonts w:cstheme="minorHAnsi"/>
              </w:rPr>
              <w:t>Cenpower</w:t>
            </w:r>
            <w:proofErr w:type="spellEnd"/>
            <w:r>
              <w:rPr>
                <w:rFonts w:cstheme="minorHAnsi"/>
              </w:rPr>
              <w:t xml:space="preserve"> Generation Company Ltd</w:t>
            </w:r>
          </w:p>
        </w:tc>
        <w:tc>
          <w:tcPr>
            <w:tcW w:w="2469" w:type="dxa"/>
          </w:tcPr>
          <w:p w14:paraId="4D192168" w14:textId="77777777" w:rsidR="00E92B1E" w:rsidRPr="001A6A84" w:rsidRDefault="00E92B1E" w:rsidP="00385DBD">
            <w:pPr>
              <w:jc w:val="both"/>
              <w:rPr>
                <w:rFonts w:cstheme="minorHAnsi"/>
              </w:rPr>
            </w:pPr>
            <w:r w:rsidRPr="001A6A84">
              <w:rPr>
                <w:rFonts w:cstheme="minorHAnsi"/>
              </w:rPr>
              <w:t>Approval without conditions</w:t>
            </w:r>
          </w:p>
        </w:tc>
        <w:tc>
          <w:tcPr>
            <w:tcW w:w="1906" w:type="dxa"/>
          </w:tcPr>
          <w:p w14:paraId="58237DB4" w14:textId="77777777" w:rsidR="00E92B1E" w:rsidRPr="001A6A84" w:rsidRDefault="00E92B1E" w:rsidP="00385DBD">
            <w:pPr>
              <w:jc w:val="both"/>
              <w:rPr>
                <w:rFonts w:cstheme="minorHAnsi"/>
              </w:rPr>
            </w:pPr>
          </w:p>
        </w:tc>
      </w:tr>
    </w:tbl>
    <w:p w14:paraId="0D2D87CA" w14:textId="77777777" w:rsidR="00CF360B" w:rsidRPr="001A6A84" w:rsidRDefault="00CF360B" w:rsidP="00CF360B">
      <w:pPr>
        <w:spacing w:after="0" w:line="240" w:lineRule="auto"/>
        <w:jc w:val="both"/>
        <w:rPr>
          <w:rFonts w:eastAsia="Calibri" w:cstheme="minorHAnsi"/>
          <w:b/>
        </w:rPr>
      </w:pPr>
    </w:p>
    <w:p w14:paraId="26BF00F0" w14:textId="77777777" w:rsidR="00E92B1E" w:rsidRDefault="00CF360B" w:rsidP="00CF360B">
      <w:pPr>
        <w:spacing w:after="0" w:line="240" w:lineRule="auto"/>
        <w:jc w:val="both"/>
        <w:rPr>
          <w:rFonts w:cstheme="minorHAnsi"/>
          <w:b/>
          <w:lang w:val="en-GB"/>
        </w:rPr>
      </w:pPr>
      <w:r w:rsidRPr="001A6A84">
        <w:rPr>
          <w:rFonts w:cstheme="minorHAnsi"/>
          <w:b/>
          <w:lang w:val="en-GB"/>
        </w:rPr>
        <w:t xml:space="preserve">Tribunal </w:t>
      </w:r>
      <w:r w:rsidR="00E92B1E">
        <w:rPr>
          <w:rFonts w:cstheme="minorHAnsi"/>
          <w:b/>
          <w:lang w:val="en-GB"/>
        </w:rPr>
        <w:t xml:space="preserve">has confirmed the </w:t>
      </w:r>
      <w:r w:rsidRPr="001A6A84">
        <w:rPr>
          <w:rFonts w:cstheme="minorHAnsi"/>
          <w:b/>
          <w:lang w:val="en-GB"/>
        </w:rPr>
        <w:t xml:space="preserve">R2m settlement </w:t>
      </w:r>
      <w:r w:rsidR="00E92B1E">
        <w:rPr>
          <w:rFonts w:cstheme="minorHAnsi"/>
          <w:b/>
          <w:lang w:val="en-GB"/>
        </w:rPr>
        <w:t>between</w:t>
      </w:r>
      <w:r w:rsidR="00841A92">
        <w:rPr>
          <w:rFonts w:cstheme="minorHAnsi"/>
          <w:b/>
          <w:lang w:val="en-GB"/>
        </w:rPr>
        <w:t xml:space="preserve"> a</w:t>
      </w:r>
      <w:r w:rsidR="00E92B1E">
        <w:rPr>
          <w:rFonts w:cstheme="minorHAnsi"/>
          <w:b/>
          <w:lang w:val="en-GB"/>
        </w:rPr>
        <w:t xml:space="preserve"> textile company and the Commission</w:t>
      </w:r>
    </w:p>
    <w:p w14:paraId="0893C5A4" w14:textId="77777777" w:rsidR="00E92B1E" w:rsidRPr="00E92B1E" w:rsidRDefault="00E92B1E" w:rsidP="00CF360B">
      <w:pPr>
        <w:spacing w:after="0" w:line="240" w:lineRule="auto"/>
        <w:jc w:val="both"/>
        <w:rPr>
          <w:rFonts w:cstheme="minorHAnsi"/>
          <w:b/>
          <w:lang w:val="en-GB"/>
        </w:rPr>
      </w:pPr>
    </w:p>
    <w:p w14:paraId="2811DEE0"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Competition Tribunal </w:t>
      </w:r>
      <w:r w:rsidR="00E92B1E">
        <w:rPr>
          <w:rFonts w:cstheme="minorHAnsi"/>
          <w:lang w:val="en-GB"/>
        </w:rPr>
        <w:t xml:space="preserve">has confirmed a </w:t>
      </w:r>
      <w:r w:rsidRPr="001A6A84">
        <w:rPr>
          <w:rFonts w:cstheme="minorHAnsi"/>
          <w:lang w:val="en-GB"/>
        </w:rPr>
        <w:t>R2 113 335.24 settlement between the Competition Commission and Good Hope Textile Corporation, trading as Da Gama Textiles. The fir</w:t>
      </w:r>
      <w:r w:rsidR="00E92B1E">
        <w:rPr>
          <w:rFonts w:cstheme="minorHAnsi"/>
          <w:lang w:val="en-GB"/>
        </w:rPr>
        <w:t xml:space="preserve">m </w:t>
      </w:r>
      <w:r w:rsidRPr="001A6A84">
        <w:rPr>
          <w:rFonts w:cstheme="minorHAnsi"/>
          <w:lang w:val="en-GB"/>
        </w:rPr>
        <w:t>admitted to colluding</w:t>
      </w:r>
      <w:r>
        <w:rPr>
          <w:rFonts w:cstheme="minorHAnsi"/>
          <w:lang w:val="en-GB"/>
        </w:rPr>
        <w:t xml:space="preserve"> tendering</w:t>
      </w:r>
      <w:r w:rsidRPr="001A6A84">
        <w:rPr>
          <w:rFonts w:cstheme="minorHAnsi"/>
          <w:lang w:val="en-GB"/>
        </w:rPr>
        <w:t xml:space="preserve"> in a bid issued by National Treasury. </w:t>
      </w:r>
      <w:bookmarkStart w:id="0" w:name="_GoBack"/>
      <w:bookmarkEnd w:id="0"/>
    </w:p>
    <w:p w14:paraId="509FF6FD" w14:textId="77777777" w:rsidR="00CF360B" w:rsidRPr="001A6A84" w:rsidRDefault="00CF360B" w:rsidP="00CF360B">
      <w:pPr>
        <w:spacing w:after="0" w:line="240" w:lineRule="auto"/>
        <w:jc w:val="both"/>
        <w:rPr>
          <w:rFonts w:cstheme="minorHAnsi"/>
          <w:lang w:val="en-GB"/>
        </w:rPr>
      </w:pPr>
    </w:p>
    <w:p w14:paraId="23D329EB"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tender was for the supply of fabric used in the manufacture of uniforms for the Department of Correctional Services, the South African Air Force and the South African Military Health Services. </w:t>
      </w:r>
    </w:p>
    <w:p w14:paraId="76FBE653" w14:textId="77777777" w:rsidR="00CF360B" w:rsidRPr="001A6A84" w:rsidRDefault="00CF360B" w:rsidP="00CF360B">
      <w:pPr>
        <w:spacing w:after="0" w:line="240" w:lineRule="auto"/>
        <w:jc w:val="both"/>
        <w:rPr>
          <w:rFonts w:cstheme="minorHAnsi"/>
          <w:lang w:val="en-GB"/>
        </w:rPr>
      </w:pPr>
    </w:p>
    <w:p w14:paraId="38BFE2B5"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Da Gama Textiles concluded bilateral agreements with </w:t>
      </w:r>
      <w:proofErr w:type="spellStart"/>
      <w:r w:rsidRPr="001A6A84">
        <w:rPr>
          <w:rFonts w:cstheme="minorHAnsi"/>
          <w:lang w:val="en-GB"/>
        </w:rPr>
        <w:t>Monoge</w:t>
      </w:r>
      <w:proofErr w:type="spellEnd"/>
      <w:r w:rsidRPr="001A6A84">
        <w:rPr>
          <w:rFonts w:cstheme="minorHAnsi"/>
          <w:lang w:val="en-GB"/>
        </w:rPr>
        <w:t xml:space="preserve"> Mining and Motseng Trading &amp; Supply Services in which they agreed that Da Gama Textiles would determine the prices at which both would quote in submitting their respective bids. </w:t>
      </w:r>
    </w:p>
    <w:p w14:paraId="34690A9A" w14:textId="77777777" w:rsidR="00CF360B" w:rsidRPr="001A6A84" w:rsidRDefault="00CF360B" w:rsidP="00CF360B">
      <w:pPr>
        <w:spacing w:after="0" w:line="240" w:lineRule="auto"/>
        <w:jc w:val="both"/>
        <w:rPr>
          <w:rFonts w:cstheme="minorHAnsi"/>
          <w:lang w:val="en-GB"/>
        </w:rPr>
      </w:pPr>
    </w:p>
    <w:p w14:paraId="3CC88F69"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Commission has already concluded a settlement with Motseng Trading of R100 000, which represented 7.6% of its 2013 turnover. </w:t>
      </w:r>
    </w:p>
    <w:p w14:paraId="75328456" w14:textId="77777777" w:rsidR="00CF360B" w:rsidRPr="001A6A84" w:rsidRDefault="00CF360B" w:rsidP="00CF360B">
      <w:pPr>
        <w:spacing w:after="0" w:line="240" w:lineRule="auto"/>
        <w:jc w:val="both"/>
        <w:rPr>
          <w:rFonts w:cstheme="minorHAnsi"/>
          <w:lang w:val="en-GB"/>
        </w:rPr>
      </w:pPr>
    </w:p>
    <w:p w14:paraId="2E0BC53D" w14:textId="77777777" w:rsidR="00CF360B" w:rsidRPr="001A6A84" w:rsidRDefault="00CF360B" w:rsidP="00CF360B">
      <w:pPr>
        <w:spacing w:after="0" w:line="240" w:lineRule="auto"/>
        <w:jc w:val="both"/>
        <w:rPr>
          <w:rFonts w:cstheme="minorHAnsi"/>
          <w:b/>
          <w:lang w:val="en-GB"/>
        </w:rPr>
      </w:pPr>
      <w:r w:rsidRPr="001A6A84">
        <w:rPr>
          <w:rFonts w:cstheme="minorHAnsi"/>
          <w:b/>
          <w:lang w:val="en-GB"/>
        </w:rPr>
        <w:t>Merger</w:t>
      </w:r>
      <w:r w:rsidR="00E92B1E">
        <w:rPr>
          <w:rFonts w:cstheme="minorHAnsi"/>
          <w:b/>
          <w:lang w:val="en-GB"/>
        </w:rPr>
        <w:t xml:space="preserve"> approved</w:t>
      </w:r>
      <w:r w:rsidRPr="001A6A84">
        <w:rPr>
          <w:rFonts w:cstheme="minorHAnsi"/>
          <w:b/>
          <w:lang w:val="en-GB"/>
        </w:rPr>
        <w:t xml:space="preserve"> in election power generation market </w:t>
      </w:r>
    </w:p>
    <w:p w14:paraId="149A8184" w14:textId="77777777" w:rsidR="00CF360B" w:rsidRPr="001A6A84" w:rsidRDefault="00CF360B" w:rsidP="00CF360B">
      <w:pPr>
        <w:spacing w:after="0" w:line="240" w:lineRule="auto"/>
        <w:jc w:val="both"/>
        <w:rPr>
          <w:rFonts w:cstheme="minorHAnsi"/>
          <w:lang w:val="en-GB"/>
        </w:rPr>
      </w:pPr>
    </w:p>
    <w:p w14:paraId="06675BF4" w14:textId="77777777" w:rsidR="00CF360B" w:rsidRPr="001A6A84" w:rsidRDefault="00E92B1E" w:rsidP="00CF360B">
      <w:pPr>
        <w:spacing w:after="0" w:line="240" w:lineRule="auto"/>
        <w:jc w:val="both"/>
        <w:rPr>
          <w:rFonts w:cstheme="minorHAnsi"/>
          <w:lang w:val="en-GB"/>
        </w:rPr>
      </w:pPr>
      <w:r>
        <w:rPr>
          <w:rFonts w:cstheme="minorHAnsi"/>
          <w:lang w:val="en-GB"/>
        </w:rPr>
        <w:t>The</w:t>
      </w:r>
      <w:r w:rsidR="00CF360B" w:rsidRPr="001A6A84">
        <w:rPr>
          <w:rFonts w:cstheme="minorHAnsi"/>
          <w:lang w:val="en-GB"/>
        </w:rPr>
        <w:t xml:space="preserve"> Tribunal</w:t>
      </w:r>
      <w:r>
        <w:rPr>
          <w:rFonts w:cstheme="minorHAnsi"/>
          <w:lang w:val="en-GB"/>
        </w:rPr>
        <w:t xml:space="preserve"> has</w:t>
      </w:r>
      <w:r w:rsidR="00CF360B" w:rsidRPr="001A6A84">
        <w:rPr>
          <w:rFonts w:cstheme="minorHAnsi"/>
          <w:lang w:val="en-GB"/>
        </w:rPr>
        <w:t xml:space="preserve"> approv</w:t>
      </w:r>
      <w:r>
        <w:rPr>
          <w:rFonts w:cstheme="minorHAnsi"/>
          <w:lang w:val="en-GB"/>
        </w:rPr>
        <w:t>ed</w:t>
      </w:r>
      <w:r w:rsidR="00CF360B" w:rsidRPr="001A6A84">
        <w:rPr>
          <w:rFonts w:cstheme="minorHAnsi"/>
          <w:lang w:val="en-GB"/>
        </w:rPr>
        <w:t xml:space="preserve"> the unconditional merger of Holdco, </w:t>
      </w:r>
      <w:proofErr w:type="spellStart"/>
      <w:r w:rsidR="00CF360B" w:rsidRPr="001A6A84">
        <w:rPr>
          <w:rFonts w:cstheme="minorHAnsi"/>
          <w:lang w:val="en-GB"/>
        </w:rPr>
        <w:t>DevCo</w:t>
      </w:r>
      <w:proofErr w:type="spellEnd"/>
      <w:r w:rsidR="00CF360B" w:rsidRPr="001A6A84">
        <w:rPr>
          <w:rFonts w:cstheme="minorHAnsi"/>
          <w:lang w:val="en-GB"/>
        </w:rPr>
        <w:t xml:space="preserve"> and </w:t>
      </w:r>
      <w:proofErr w:type="spellStart"/>
      <w:r w:rsidR="00CF360B" w:rsidRPr="001A6A84">
        <w:rPr>
          <w:rFonts w:cstheme="minorHAnsi"/>
          <w:lang w:val="en-GB"/>
        </w:rPr>
        <w:t>AssetCo</w:t>
      </w:r>
      <w:proofErr w:type="spellEnd"/>
      <w:r w:rsidR="00CF360B" w:rsidRPr="001A6A84">
        <w:rPr>
          <w:rFonts w:cstheme="minorHAnsi"/>
          <w:lang w:val="en-GB"/>
        </w:rPr>
        <w:t xml:space="preserve"> with target firms Aldwych Power Holdings Limited (AHL), Aldwych International Limited (AIL), </w:t>
      </w:r>
      <w:proofErr w:type="spellStart"/>
      <w:r w:rsidR="00CF360B" w:rsidRPr="001A6A84">
        <w:rPr>
          <w:rFonts w:cstheme="minorHAnsi"/>
          <w:lang w:val="en-GB"/>
        </w:rPr>
        <w:t>Cabeolica</w:t>
      </w:r>
      <w:proofErr w:type="spellEnd"/>
      <w:r w:rsidR="00CF360B" w:rsidRPr="001A6A84">
        <w:rPr>
          <w:rFonts w:cstheme="minorHAnsi"/>
          <w:lang w:val="en-GB"/>
        </w:rPr>
        <w:t xml:space="preserve"> SA (</w:t>
      </w:r>
      <w:proofErr w:type="spellStart"/>
      <w:r w:rsidR="00CF360B" w:rsidRPr="001A6A84">
        <w:rPr>
          <w:rFonts w:cstheme="minorHAnsi"/>
          <w:lang w:val="en-GB"/>
        </w:rPr>
        <w:t>Cabeolica</w:t>
      </w:r>
      <w:proofErr w:type="spellEnd"/>
      <w:r w:rsidR="00CF360B" w:rsidRPr="001A6A84">
        <w:rPr>
          <w:rFonts w:cstheme="minorHAnsi"/>
          <w:lang w:val="en-GB"/>
        </w:rPr>
        <w:t xml:space="preserve">) and </w:t>
      </w:r>
      <w:proofErr w:type="spellStart"/>
      <w:r w:rsidR="00CF360B" w:rsidRPr="001A6A84">
        <w:rPr>
          <w:rFonts w:cstheme="minorHAnsi"/>
          <w:lang w:val="en-GB"/>
        </w:rPr>
        <w:t>Cenpower</w:t>
      </w:r>
      <w:proofErr w:type="spellEnd"/>
      <w:r w:rsidR="00CF360B" w:rsidRPr="001A6A84">
        <w:rPr>
          <w:rFonts w:cstheme="minorHAnsi"/>
          <w:lang w:val="en-GB"/>
        </w:rPr>
        <w:t xml:space="preserve"> Generation Company Ltd (</w:t>
      </w:r>
      <w:proofErr w:type="spellStart"/>
      <w:r w:rsidR="00CF360B" w:rsidRPr="001A6A84">
        <w:rPr>
          <w:rFonts w:cstheme="minorHAnsi"/>
          <w:lang w:val="en-GB"/>
        </w:rPr>
        <w:t>Cenpower</w:t>
      </w:r>
      <w:proofErr w:type="spellEnd"/>
      <w:r w:rsidR="00CF360B" w:rsidRPr="001A6A84">
        <w:rPr>
          <w:rFonts w:cstheme="minorHAnsi"/>
          <w:lang w:val="en-GB"/>
        </w:rPr>
        <w:t xml:space="preserve">). </w:t>
      </w:r>
    </w:p>
    <w:p w14:paraId="463F5F8E" w14:textId="77777777" w:rsidR="00CF360B" w:rsidRPr="001A6A84" w:rsidRDefault="00CF360B" w:rsidP="00CF360B">
      <w:pPr>
        <w:spacing w:after="0" w:line="240" w:lineRule="auto"/>
        <w:jc w:val="both"/>
        <w:rPr>
          <w:rFonts w:cstheme="minorHAnsi"/>
          <w:lang w:val="en-GB"/>
        </w:rPr>
      </w:pPr>
    </w:p>
    <w:p w14:paraId="0841A21B"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Holdco, </w:t>
      </w:r>
      <w:proofErr w:type="spellStart"/>
      <w:r w:rsidRPr="001A6A84">
        <w:rPr>
          <w:rFonts w:cstheme="minorHAnsi"/>
          <w:lang w:val="en-GB"/>
        </w:rPr>
        <w:t>DevCo</w:t>
      </w:r>
      <w:proofErr w:type="spellEnd"/>
      <w:r w:rsidRPr="001A6A84">
        <w:rPr>
          <w:rFonts w:cstheme="minorHAnsi"/>
          <w:lang w:val="en-GB"/>
        </w:rPr>
        <w:t xml:space="preserve"> and </w:t>
      </w:r>
      <w:proofErr w:type="spellStart"/>
      <w:r w:rsidRPr="001A6A84">
        <w:rPr>
          <w:rFonts w:cstheme="minorHAnsi"/>
          <w:lang w:val="en-GB"/>
        </w:rPr>
        <w:t>AssetCo</w:t>
      </w:r>
      <w:proofErr w:type="spellEnd"/>
      <w:r w:rsidRPr="001A6A84">
        <w:rPr>
          <w:rFonts w:cstheme="minorHAnsi"/>
          <w:lang w:val="en-GB"/>
        </w:rPr>
        <w:t xml:space="preserve"> </w:t>
      </w:r>
      <w:r w:rsidR="00E92B1E">
        <w:rPr>
          <w:rFonts w:cstheme="minorHAnsi"/>
          <w:lang w:val="en-GB"/>
        </w:rPr>
        <w:t xml:space="preserve">will </w:t>
      </w:r>
      <w:r w:rsidRPr="001A6A84">
        <w:rPr>
          <w:rFonts w:cstheme="minorHAnsi"/>
          <w:lang w:val="en-GB"/>
        </w:rPr>
        <w:t xml:space="preserve">acquire the entire share capital of the target firms. </w:t>
      </w:r>
    </w:p>
    <w:p w14:paraId="58F49F47" w14:textId="77777777" w:rsidR="00CF360B" w:rsidRPr="001A6A84" w:rsidRDefault="00CF360B" w:rsidP="00CF360B">
      <w:pPr>
        <w:spacing w:after="0" w:line="240" w:lineRule="auto"/>
        <w:jc w:val="both"/>
        <w:rPr>
          <w:rFonts w:cstheme="minorHAnsi"/>
          <w:lang w:val="en-GB"/>
        </w:rPr>
      </w:pPr>
    </w:p>
    <w:p w14:paraId="3B8F4CD9"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primary acquiring firms are not yet incorporated. </w:t>
      </w:r>
      <w:proofErr w:type="spellStart"/>
      <w:r w:rsidRPr="001A6A84">
        <w:rPr>
          <w:rFonts w:cstheme="minorHAnsi"/>
          <w:lang w:val="en-GB"/>
        </w:rPr>
        <w:t>HoldCo</w:t>
      </w:r>
      <w:proofErr w:type="spellEnd"/>
      <w:r w:rsidRPr="001A6A84">
        <w:rPr>
          <w:rFonts w:cstheme="minorHAnsi"/>
          <w:lang w:val="en-GB"/>
        </w:rPr>
        <w:t xml:space="preserve"> will be the holding company of </w:t>
      </w:r>
      <w:proofErr w:type="spellStart"/>
      <w:r w:rsidRPr="001A6A84">
        <w:rPr>
          <w:rFonts w:cstheme="minorHAnsi"/>
          <w:lang w:val="en-GB"/>
        </w:rPr>
        <w:t>DevCo</w:t>
      </w:r>
      <w:proofErr w:type="spellEnd"/>
      <w:r w:rsidRPr="001A6A84">
        <w:rPr>
          <w:rFonts w:cstheme="minorHAnsi"/>
          <w:lang w:val="en-GB"/>
        </w:rPr>
        <w:t xml:space="preserve"> and </w:t>
      </w:r>
      <w:proofErr w:type="spellStart"/>
      <w:r w:rsidRPr="001A6A84">
        <w:rPr>
          <w:rFonts w:cstheme="minorHAnsi"/>
          <w:lang w:val="en-GB"/>
        </w:rPr>
        <w:t>AssetCo</w:t>
      </w:r>
      <w:proofErr w:type="spellEnd"/>
      <w:r w:rsidRPr="001A6A84">
        <w:rPr>
          <w:rFonts w:cstheme="minorHAnsi"/>
          <w:lang w:val="en-GB"/>
        </w:rPr>
        <w:t xml:space="preserve"> and the three will be jointly controlled in equal share by AHL and AFC Equity Investments Ltd (AFC Equity). </w:t>
      </w:r>
    </w:p>
    <w:p w14:paraId="0383E373" w14:textId="77777777" w:rsidR="00CF360B" w:rsidRPr="001A6A84" w:rsidRDefault="00CF360B" w:rsidP="00CF360B">
      <w:pPr>
        <w:spacing w:after="0" w:line="240" w:lineRule="auto"/>
        <w:jc w:val="both"/>
        <w:rPr>
          <w:rFonts w:cstheme="minorHAnsi"/>
          <w:lang w:val="en-GB"/>
        </w:rPr>
      </w:pPr>
    </w:p>
    <w:p w14:paraId="75B9523F" w14:textId="77777777" w:rsidR="00CF360B" w:rsidRPr="001A6A84" w:rsidRDefault="00CF360B" w:rsidP="00CF360B">
      <w:pPr>
        <w:spacing w:after="0" w:line="240" w:lineRule="auto"/>
        <w:jc w:val="both"/>
        <w:rPr>
          <w:rFonts w:cstheme="minorHAnsi"/>
          <w:lang w:val="en-GB"/>
        </w:rPr>
      </w:pPr>
      <w:r w:rsidRPr="001A6A84">
        <w:rPr>
          <w:rFonts w:cstheme="minorHAnsi"/>
          <w:lang w:val="en-GB"/>
        </w:rPr>
        <w:t>AHL is controlled by Pan African Infrastructure Development Fund and AFC Equity is controlled by Africa Finance Corporation (AFC).</w:t>
      </w:r>
    </w:p>
    <w:p w14:paraId="61951FD0" w14:textId="77777777" w:rsidR="00CF360B" w:rsidRPr="001A6A84" w:rsidRDefault="00CF360B" w:rsidP="00CF360B">
      <w:pPr>
        <w:spacing w:after="0" w:line="240" w:lineRule="auto"/>
        <w:jc w:val="both"/>
        <w:rPr>
          <w:rFonts w:cstheme="minorHAnsi"/>
          <w:lang w:val="en-GB"/>
        </w:rPr>
      </w:pPr>
    </w:p>
    <w:p w14:paraId="30F2622E"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Globally, AHL develops, constructs, manages, owns and operates electricity generation, transmission and distribution projects in developing markets. </w:t>
      </w:r>
    </w:p>
    <w:p w14:paraId="5DAD3C9A" w14:textId="77777777" w:rsidR="00CF360B" w:rsidRPr="001A6A84" w:rsidRDefault="00CF360B" w:rsidP="00CF360B">
      <w:pPr>
        <w:spacing w:after="0" w:line="240" w:lineRule="auto"/>
        <w:jc w:val="both"/>
        <w:rPr>
          <w:rFonts w:cstheme="minorHAnsi"/>
          <w:lang w:val="en-GB"/>
        </w:rPr>
      </w:pPr>
    </w:p>
    <w:p w14:paraId="59FABB22" w14:textId="77777777" w:rsidR="00CF360B" w:rsidRDefault="00CF360B" w:rsidP="00CF360B">
      <w:pPr>
        <w:spacing w:after="0" w:line="240" w:lineRule="auto"/>
        <w:jc w:val="both"/>
        <w:rPr>
          <w:rFonts w:cstheme="minorHAnsi"/>
          <w:lang w:val="en-GB"/>
        </w:rPr>
      </w:pPr>
      <w:r w:rsidRPr="001A6A84">
        <w:rPr>
          <w:rFonts w:cstheme="minorHAnsi"/>
          <w:lang w:val="en-GB"/>
        </w:rPr>
        <w:t>Pan African Infrastructure Development is a leading African infrastructure fund manager and AFC is an Africa-focused multilateral financial institution. AFC has a special focus on the African infrastructure sectors, including conventional power generation, renewable energy, sea, airports, oil and gas pipelines and telecommunications. In South Africa, AFC does not control any firm but has an interest in South African Toll Road Company (Pty) Limited.</w:t>
      </w:r>
    </w:p>
    <w:p w14:paraId="02E9E35E" w14:textId="77777777" w:rsidR="00CF360B" w:rsidRDefault="00CF360B" w:rsidP="00CF360B">
      <w:pPr>
        <w:spacing w:after="0" w:line="240" w:lineRule="auto"/>
        <w:jc w:val="both"/>
        <w:rPr>
          <w:rFonts w:cstheme="minorHAnsi"/>
          <w:lang w:val="en-GB"/>
        </w:rPr>
      </w:pPr>
    </w:p>
    <w:p w14:paraId="61C442B8"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Issued by: </w:t>
      </w:r>
    </w:p>
    <w:p w14:paraId="4140882E"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 xml:space="preserve">Chantelle Benjamin </w:t>
      </w:r>
    </w:p>
    <w:p w14:paraId="63B51670"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Communications: Competition Tribunal   </w:t>
      </w:r>
    </w:p>
    <w:p w14:paraId="352ABCB3"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 xml:space="preserve">Tel (012)394 1383                                      </w:t>
      </w:r>
    </w:p>
    <w:p w14:paraId="4395FC17"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Cell: +27 (0) 73 007 5603  </w:t>
      </w:r>
    </w:p>
    <w:p w14:paraId="6BF4C8C2"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Twitter: @comptrib                                        </w:t>
      </w:r>
    </w:p>
    <w:p w14:paraId="28C6A27B" w14:textId="77777777" w:rsidR="00CF360B" w:rsidRPr="001A6A84" w:rsidRDefault="00CF360B" w:rsidP="00CF360B">
      <w:pPr>
        <w:spacing w:after="0" w:line="240" w:lineRule="auto"/>
        <w:jc w:val="both"/>
        <w:rPr>
          <w:rFonts w:cstheme="minorHAnsi"/>
        </w:rPr>
      </w:pPr>
      <w:r w:rsidRPr="001A6A84">
        <w:rPr>
          <w:rFonts w:cstheme="minorHAnsi"/>
          <w:color w:val="000000"/>
          <w:lang w:eastAsia="en-ZA"/>
        </w:rPr>
        <w:t xml:space="preserve">E-Mail: </w:t>
      </w:r>
      <w:hyperlink r:id="rId5" w:history="1">
        <w:r w:rsidRPr="001A6A84">
          <w:rPr>
            <w:rStyle w:val="Hyperlink"/>
            <w:rFonts w:cstheme="minorHAnsi"/>
            <w:lang w:eastAsia="en-ZA"/>
          </w:rPr>
          <w:t>chantelleb@comptrib.co.za</w:t>
        </w:r>
      </w:hyperlink>
      <w:r w:rsidRPr="001A6A84">
        <w:rPr>
          <w:rFonts w:cstheme="minorHAnsi"/>
        </w:rPr>
        <w:t xml:space="preserve"> </w:t>
      </w:r>
    </w:p>
    <w:p w14:paraId="675400A7" w14:textId="77777777" w:rsidR="00CF360B" w:rsidRPr="001A6A84" w:rsidRDefault="00CF360B" w:rsidP="00CF360B">
      <w:pPr>
        <w:spacing w:after="0" w:line="240" w:lineRule="auto"/>
        <w:jc w:val="both"/>
        <w:rPr>
          <w:rFonts w:cstheme="minorHAnsi"/>
          <w:color w:val="000000"/>
        </w:rPr>
      </w:pPr>
    </w:p>
    <w:p w14:paraId="1CA9FACF" w14:textId="77777777" w:rsidR="00CF360B" w:rsidRPr="001A6A84" w:rsidRDefault="00CF360B" w:rsidP="00CF360B">
      <w:pPr>
        <w:spacing w:after="0" w:line="240" w:lineRule="auto"/>
        <w:jc w:val="both"/>
        <w:rPr>
          <w:rFonts w:cstheme="minorHAnsi"/>
          <w:color w:val="000000"/>
        </w:rPr>
      </w:pPr>
    </w:p>
    <w:p w14:paraId="40079F81"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On Behalf Of:</w:t>
      </w:r>
    </w:p>
    <w:p w14:paraId="7F7EFC90"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Lerato Motaung                                                   </w:t>
      </w:r>
    </w:p>
    <w:p w14:paraId="45AC254F"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Registrar: Competition Tribunal                                         </w:t>
      </w:r>
    </w:p>
    <w:p w14:paraId="7820316C"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Tel: (012) 394 3355                                              </w:t>
      </w:r>
    </w:p>
    <w:p w14:paraId="0614E164"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Cell: +27 (0) 82 556 3221                                               </w:t>
      </w:r>
    </w:p>
    <w:p w14:paraId="6A177532" w14:textId="77777777" w:rsidR="00CF360B" w:rsidRPr="001A6A84" w:rsidRDefault="00CF360B" w:rsidP="00CF360B">
      <w:pPr>
        <w:spacing w:after="0" w:line="240" w:lineRule="auto"/>
        <w:jc w:val="both"/>
        <w:rPr>
          <w:rFonts w:cstheme="minorHAnsi"/>
        </w:rPr>
      </w:pPr>
      <w:r w:rsidRPr="001A6A84">
        <w:rPr>
          <w:rFonts w:cstheme="minorHAnsi"/>
          <w:color w:val="000000"/>
          <w:lang w:eastAsia="en-ZA"/>
        </w:rPr>
        <w:t xml:space="preserve">E-Mail: </w:t>
      </w:r>
      <w:hyperlink r:id="rId6" w:history="1">
        <w:r w:rsidRPr="001A6A84">
          <w:rPr>
            <w:rStyle w:val="Hyperlink"/>
            <w:rFonts w:cstheme="minorHAnsi"/>
            <w:lang w:eastAsia="en-ZA"/>
          </w:rPr>
          <w:t>LeratoM@comptrib.co.za</w:t>
        </w:r>
      </w:hyperlink>
    </w:p>
    <w:p w14:paraId="20F7DE07" w14:textId="77777777" w:rsidR="00CF360B" w:rsidRDefault="00CF360B" w:rsidP="00CF360B">
      <w:pPr>
        <w:spacing w:line="240" w:lineRule="auto"/>
      </w:pPr>
    </w:p>
    <w:p w14:paraId="600D645E" w14:textId="77777777" w:rsidR="00CF360B" w:rsidRDefault="00CF360B" w:rsidP="00CF360B">
      <w:pPr>
        <w:spacing w:line="240" w:lineRule="auto"/>
      </w:pPr>
    </w:p>
    <w:p w14:paraId="7CD06254" w14:textId="77777777" w:rsidR="00CF360B" w:rsidRDefault="00CF360B" w:rsidP="00CF360B">
      <w:pPr>
        <w:spacing w:line="240" w:lineRule="auto"/>
      </w:pPr>
    </w:p>
    <w:p w14:paraId="61593E34" w14:textId="77777777" w:rsidR="00CF360B" w:rsidRDefault="00CF360B" w:rsidP="00CF360B">
      <w:pPr>
        <w:spacing w:line="240" w:lineRule="auto"/>
      </w:pPr>
    </w:p>
    <w:p w14:paraId="37B43D50" w14:textId="77777777" w:rsidR="003E6D12" w:rsidRDefault="00CC7B76"/>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0B"/>
    <w:rsid w:val="002A5A09"/>
    <w:rsid w:val="004755EC"/>
    <w:rsid w:val="007E267D"/>
    <w:rsid w:val="00841A92"/>
    <w:rsid w:val="00CF360B"/>
    <w:rsid w:val="00E9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4ACF"/>
  <w15:chartTrackingRefBased/>
  <w15:docId w15:val="{057AE192-1F10-490F-A055-1CAD679A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0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60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60B"/>
    <w:rPr>
      <w:color w:val="0000FF"/>
      <w:u w:val="single"/>
    </w:rPr>
  </w:style>
  <w:style w:type="paragraph" w:styleId="BalloonText">
    <w:name w:val="Balloon Text"/>
    <w:basedOn w:val="Normal"/>
    <w:link w:val="BalloonTextChar"/>
    <w:uiPriority w:val="99"/>
    <w:semiHidden/>
    <w:unhideWhenUsed/>
    <w:rsid w:val="007E2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67D"/>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2019-04-25T13:34:00Z</dcterms:created>
  <dcterms:modified xsi:type="dcterms:W3CDTF">2019-04-25T13:34:00Z</dcterms:modified>
</cp:coreProperties>
</file>